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F005C">
      <w:pPr>
        <w:ind w:left="2209" w:hanging="2209" w:hangingChars="500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南方医科大学中西医结合医院智慧停车场管理系统采购需求书</w:t>
      </w:r>
    </w:p>
    <w:p w14:paraId="50BCC443">
      <w:pPr>
        <w:rPr>
          <w:rFonts w:hint="eastAsia"/>
        </w:rPr>
      </w:pPr>
      <w:r>
        <w:rPr>
          <w:rFonts w:hint="eastAsia"/>
        </w:rPr>
        <w:t xml:space="preserve"> </w:t>
      </w:r>
    </w:p>
    <w:p w14:paraId="2D12B279">
      <w:pPr>
        <w:rPr>
          <w:rFonts w:hint="eastAsia"/>
        </w:rPr>
      </w:pPr>
      <w:r>
        <w:rPr>
          <w:rFonts w:hint="eastAsia"/>
          <w:b/>
          <w:bCs/>
          <w:sz w:val="36"/>
          <w:szCs w:val="36"/>
        </w:rPr>
        <w:t>一、项目概况</w:t>
      </w:r>
    </w:p>
    <w:p w14:paraId="264B3265">
      <w:pPr>
        <w:ind w:firstLine="640" w:firstLineChars="200"/>
        <w:rPr>
          <w:rFonts w:hint="eastAsia"/>
        </w:rPr>
      </w:pPr>
      <w:r>
        <w:rPr>
          <w:rFonts w:hint="eastAsia"/>
          <w:sz w:val="32"/>
          <w:szCs w:val="32"/>
        </w:rPr>
        <w:t>本项目为医院2进3出停车场智慧化升级改造，需搭建一体化车牌识别停车管理系统，兼容新旧系统平稳切换，覆盖车辆分类计费、人员权限管理、应急保障、月租管控、新能源车管理、黑名单治理、移动运维等全场景功能，同时配套硬件设备、平台软件、安装施工、人员培训及售后保障，满足医院医患、职工、来访人员停车管理需求，符合行业规范及院内管理制度。</w:t>
      </w:r>
      <w:r>
        <w:rPr>
          <w:rFonts w:hint="eastAsia"/>
        </w:rPr>
        <w:t xml:space="preserve"> </w:t>
      </w:r>
    </w:p>
    <w:p w14:paraId="6BA39585"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6"/>
          <w:szCs w:val="36"/>
        </w:rPr>
        <w:t>二、总体建设要求</w:t>
      </w:r>
    </w:p>
    <w:p w14:paraId="42B3C38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系统整体稳定可靠、识别精准、通行高效，适配医院高车流、多车型、复杂通行场景，杜绝长期拥堵、系统瘫痪等问题。</w:t>
      </w:r>
    </w:p>
    <w:p w14:paraId="0C88961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实施阶段采用新旧系统并行运行模式，全程不影响医院正常停车、诊疗秩序，实现无缝切换。</w:t>
      </w: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现用设备为安居宝：安云A2</w:t>
      </w:r>
      <w:r>
        <w:rPr>
          <w:rFonts w:hint="eastAsia"/>
          <w:sz w:val="32"/>
          <w:szCs w:val="32"/>
          <w:lang w:eastAsia="zh-CN"/>
        </w:rPr>
        <w:t>）</w:t>
      </w:r>
    </w:p>
    <w:p w14:paraId="5029A3A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具备断网、断电、设备故障等多重应急能力，支持脱机运行、网络备份、手动操控，保障通行不中断。</w:t>
      </w:r>
    </w:p>
    <w:p w14:paraId="7276D03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 支持多角色分级权限管理、数据留痕、报表导出，满足院内管理、财务对账、上级审计等使用要求。</w:t>
      </w:r>
    </w:p>
    <w:p w14:paraId="6E6F8B9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5. 所有硬件、软件、施工、服务符合国家、行业及广州市停车场管理相关标准，设备原厂正品，无知识产权纠纷。</w:t>
      </w:r>
    </w:p>
    <w:p w14:paraId="3388B452">
      <w:pPr>
        <w:ind w:firstLine="420"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标准参考：国家标准</w:t>
      </w:r>
      <w:r>
        <w:rPr>
          <w:rFonts w:hint="eastAsia"/>
          <w:sz w:val="32"/>
          <w:szCs w:val="32"/>
        </w:rPr>
        <w:t xml:space="preserve">GB/T 35548-2017《机动车电子标识通用规范》：车牌识别、车辆信息存储、识别精度、数据编码规范； ◦ GB/T 34944-2017《出入口控制道闸》：道闸机械性能、防砸、使用寿命、防护等级、噪音限值； ◦ GB/T 28181-2016《公共安全视频监控联网系统信息传输、交换、控制技术要求》：400 万黑光摄像机视频传输、存储、对讲接口标准； ◦ GB/T 22239-2019《信息安全技术 网络安全等级保护基本要求》：系统分级权限、操作日志留痕、数据安全、黑名单信息加密存储； ◦ GB 4208-2017《外壳防护等级（IP 代码）》：设备 IPX4、IP54 防护等级判定依据。  </w:t>
      </w:r>
    </w:p>
    <w:p w14:paraId="5D39F03C">
      <w:pPr>
        <w:ind w:firstLine="420"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行业标准 GA/T 1093-2013《出入口控制管理系统技术要求》：车牌识别一体机、脱机运行、黑白名单、应急通行规范； ◦ JT/T 794-2019《道路车辆智能监测记录系统通用技术条件》：车辆抓拍、识别速度、防伪车牌识别技术要求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</w:rPr>
        <w:t xml:space="preserve">  </w:t>
      </w:r>
    </w:p>
    <w:p w14:paraId="3C6AB1B0">
      <w:pPr>
        <w:rPr>
          <w:rFonts w:hint="eastAsia"/>
          <w:sz w:val="32"/>
          <w:szCs w:val="32"/>
        </w:rPr>
      </w:pP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32"/>
          <w:szCs w:val="32"/>
        </w:rPr>
        <w:t>3. 6. 供应商需提供设备供货、运输、安装、调试、试运行、操作培训、全周期维保等一体化服务。</w:t>
      </w:r>
    </w:p>
    <w:p w14:paraId="45D1DABA">
      <w:pPr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三、硬件设备技术参数及采购要求</w:t>
      </w:r>
    </w:p>
    <w:p w14:paraId="3012D57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本项目共计2进3出车行通道，具体参数及配置要求如下：</w:t>
      </w:r>
    </w:p>
    <w:p w14:paraId="1B7D7B4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（一）出入口控制机（共5台）</w:t>
      </w:r>
    </w:p>
    <w:p w14:paraId="2A40B3F8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1. </w:t>
      </w:r>
      <w:r>
        <w:rPr>
          <w:rFonts w:hint="eastAsia"/>
          <w:sz w:val="32"/>
          <w:szCs w:val="32"/>
          <w:lang w:val="en-US" w:eastAsia="zh-CN"/>
        </w:rPr>
        <w:t>市场最新</w:t>
      </w:r>
      <w:r>
        <w:rPr>
          <w:rFonts w:hint="eastAsia"/>
          <w:sz w:val="32"/>
          <w:szCs w:val="32"/>
        </w:rPr>
        <w:t>分体式控制机，入口2台、出口3台。</w:t>
      </w: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21"/>
          <w:szCs w:val="21"/>
          <w:lang w:eastAsia="zh-CN"/>
        </w:rPr>
        <w:t>分体式车场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>注：</w:t>
      </w:r>
      <w:r>
        <w:rPr>
          <w:rFonts w:hint="eastAsia"/>
          <w:sz w:val="32"/>
          <w:szCs w:val="32"/>
          <w:lang w:eastAsia="zh-CN"/>
        </w:rPr>
        <w:t>出入口控制机是当前 2024–2026 全行业高端改造主流机型，区别传统一体式立柱，采用模块化物理分离架构：抓拍 AI 相机、主控计算机箱、显示交互屏、语音对讲、补光单元相互独立，通过标准 TCP/IP、RS485 标准化总线联动；各模块独立立柱 / 独立点位安装，互不集成在同一机箱）</w:t>
      </w:r>
    </w:p>
    <w:p w14:paraId="484D9D0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硬件配置：搭载四核高频处理器、2G内存、</w:t>
      </w:r>
      <w:r>
        <w:rPr>
          <w:rFonts w:hint="eastAsia"/>
          <w:sz w:val="32"/>
          <w:szCs w:val="32"/>
          <w:lang w:val="en-US" w:eastAsia="zh-CN"/>
        </w:rPr>
        <w:t>市场最新</w:t>
      </w:r>
      <w:r>
        <w:rPr>
          <w:rFonts w:hint="eastAsia"/>
          <w:sz w:val="32"/>
          <w:szCs w:val="32"/>
        </w:rPr>
        <w:t>系统；配备400万黑光摄像机、≥21.5寸工业级LCD显示屏，支持昼夜模式自动切换、暖光补光。</w:t>
      </w:r>
    </w:p>
    <w:p w14:paraId="2F0F3F2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识别性能：全天候车牌识别率≥99.8%；含防伪识别速度≤0.5秒，不含防伪识别速度≤0.3秒。</w:t>
      </w:r>
    </w:p>
    <w:p w14:paraId="21E9EC7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 存储能力：单台设备用户存储容量≥20万条，车辆通行记录存储≥5万条。</w:t>
      </w:r>
    </w:p>
    <w:p w14:paraId="03EEF3A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5. 基础功能：支持车牌识别、无牌车扫码入场、可视对讲、剩余车位显示，防护等级≥IPX4。</w:t>
      </w:r>
    </w:p>
    <w:p w14:paraId="6285075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6. 工作环境：工作电压AC220V±10%，工作温度-25℃~70℃。</w:t>
      </w:r>
    </w:p>
    <w:p w14:paraId="75CDDB8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（二）道闸（共5台）</w:t>
      </w:r>
    </w:p>
    <w:p w14:paraId="1621F9B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</w:t>
      </w:r>
      <w:r>
        <w:rPr>
          <w:rFonts w:hint="eastAsia"/>
          <w:sz w:val="32"/>
          <w:szCs w:val="32"/>
          <w:lang w:val="en-US" w:eastAsia="zh-CN"/>
        </w:rPr>
        <w:t>最新型号</w:t>
      </w:r>
      <w:r>
        <w:rPr>
          <w:rFonts w:hint="eastAsia"/>
          <w:sz w:val="32"/>
          <w:szCs w:val="32"/>
        </w:rPr>
        <w:t>道闸 ，右向机型，配备发光道闸杆。</w:t>
      </w:r>
    </w:p>
    <w:p w14:paraId="2FAAAD1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性能参数：额定功率150W，运行噪音≤70分贝；闸杆开合速度1.2~4.5秒可调；机芯使用寿命≥500万次，防护等级IP54。</w:t>
      </w:r>
    </w:p>
    <w:p w14:paraId="7257A0C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环境要求：工作电压AC220V±10%，工作温度-25℃~70℃，工作湿度≤90%（无凝露）。</w:t>
      </w:r>
    </w:p>
    <w:p w14:paraId="472503C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 附加配置：集成雷达检测功能，支持防砸车、自动感应落杆；配备手动离合装置，支持极端情况下手动抬杆。</w:t>
      </w:r>
    </w:p>
    <w:p w14:paraId="1654B709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（三）系统管理中心设备</w:t>
      </w:r>
    </w:p>
    <w:p w14:paraId="16766EB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智慧停车平台：平台1套，包含移动岗亭、优惠策略配置、车行云服务、数据统计、黑名单管理等全功能模块。</w:t>
      </w:r>
    </w:p>
    <w:p w14:paraId="253DD5B0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网络设备：8电口交换机2台、单模光纤收发器4个、光纤跳线8个、光纤耦合器16个、光纤尾纤16个、光纤终端盒4个。</w:t>
      </w:r>
    </w:p>
    <w:p w14:paraId="49F5742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配套设备：带天线孔工程电控箱2台，内置轴流风机、电源插座。</w:t>
      </w:r>
    </w:p>
    <w:p w14:paraId="4F2DF408">
      <w:pPr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四、软件系统核心功能要求</w:t>
      </w:r>
    </w:p>
    <w:p w14:paraId="600F20E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（一）车辆分类计费与优惠管理</w:t>
      </w:r>
    </w:p>
    <w:p w14:paraId="304D36A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基础收费标准：</w:t>
      </w:r>
      <w:r>
        <w:rPr>
          <w:rFonts w:hint="eastAsia"/>
          <w:sz w:val="32"/>
          <w:szCs w:val="32"/>
          <w:lang w:val="en-US" w:eastAsia="zh-CN"/>
        </w:rPr>
        <w:t>按广州市政府指导价《穗发改规字（2021）2号》，</w:t>
      </w:r>
      <w:r>
        <w:rPr>
          <w:rFonts w:hint="eastAsia"/>
          <w:sz w:val="32"/>
          <w:szCs w:val="32"/>
        </w:rPr>
        <w:t>可在后台灵活调整。</w:t>
      </w:r>
    </w:p>
    <w:p w14:paraId="6A3CEDC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就诊车辆优惠</w:t>
      </w:r>
    </w:p>
    <w:p w14:paraId="3E05C689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人工核验就诊单据，车主扫码领取优惠券实现费用减免。</w:t>
      </w:r>
    </w:p>
    <w:p w14:paraId="743E070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- 住院患者：支持护士站</w:t>
      </w:r>
      <w:r>
        <w:rPr>
          <w:rFonts w:hint="eastAsia"/>
          <w:sz w:val="32"/>
          <w:szCs w:val="32"/>
          <w:lang w:val="en-US" w:eastAsia="zh-CN"/>
        </w:rPr>
        <w:t>或出院结算窗口</w:t>
      </w:r>
      <w:r>
        <w:rPr>
          <w:rFonts w:hint="eastAsia"/>
          <w:sz w:val="32"/>
          <w:szCs w:val="32"/>
        </w:rPr>
        <w:t>发放电子优惠券，抵扣停车费用。</w:t>
      </w:r>
    </w:p>
    <w:p w14:paraId="76A4073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- 配套设置：开辟就诊车辆专用通行通道，配备语音引导及标识，提升通行效率。</w:t>
      </w:r>
    </w:p>
    <w:p w14:paraId="41BD8EC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. 新能源车辆及充电联动优惠</w:t>
      </w:r>
    </w:p>
    <w:p w14:paraId="70F89C5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- 系统设置新能源车专属标签，基础停车费可享受减半优惠。</w:t>
      </w:r>
    </w:p>
    <w:p w14:paraId="3F8EC650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- 充电桩与停车系统一体化集成，支持充电减免对应时长停车费、低谷电价折扣、充电积分兑换停车券等多重优惠。</w:t>
      </w:r>
    </w:p>
    <w:p w14:paraId="2468560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. 对公结算：对公账户结算费率0.6%，结算周期T+1；支持微信、支付宝正常支付及断网离线蓝牙支付。</w:t>
      </w:r>
    </w:p>
    <w:p w14:paraId="3AB019E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. 电子票据：</w:t>
      </w:r>
      <w:r>
        <w:rPr>
          <w:rFonts w:hint="eastAsia"/>
          <w:sz w:val="32"/>
          <w:szCs w:val="32"/>
          <w:lang w:val="en-US" w:eastAsia="zh-CN"/>
        </w:rPr>
        <w:t>平台对接2000元/年，</w:t>
      </w:r>
      <w:r>
        <w:rPr>
          <w:rFonts w:hint="eastAsia"/>
          <w:sz w:val="32"/>
          <w:szCs w:val="32"/>
        </w:rPr>
        <w:t>支持缴费后自动推送、离场扫码申领电子发票，满足个人及企业开票需求。</w:t>
      </w:r>
    </w:p>
    <w:p w14:paraId="5259331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（二）月租车辆全流程管理</w:t>
      </w:r>
    </w:p>
    <w:p w14:paraId="45A53BF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到期提醒：月租到期前7天、3天、1天，自动向车主发送短信提醒，场内LED屏同步滚动提示；重点车辆可提供一对一人工提醒。</w:t>
      </w:r>
    </w:p>
    <w:p w14:paraId="0C22B41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宽限期管理：月租到期后设置3天宽限期，宽限期内按临时车辆标准计费，出入口语音提示续费。</w:t>
      </w:r>
    </w:p>
    <w:p w14:paraId="380988E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逾期处置：宽限期结束未续费，自动移出月租白名单；超期车辆发送逾期告知，限制优惠权益。</w:t>
      </w:r>
    </w:p>
    <w:p w14:paraId="35D6C7D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 欠费注销：长期欠费车辆纳入欠费黑名单，限制入场；逾期拒不缴费的，配合院方依法追讨欠费。</w:t>
      </w:r>
    </w:p>
    <w:p w14:paraId="0246A4B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（三）多级权限与账号管理</w:t>
      </w:r>
    </w:p>
    <w:p w14:paraId="1EF97DE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采用角色权限分级模式，所有操作日志全程留痕，支持PC端、移动端双端管理：</w:t>
      </w:r>
    </w:p>
    <w:p w14:paraId="49279EE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超级管理员：拥有全系统最高权限，可增删账号、调整费率、查看全量报表、管理黑白名单、调取监控。</w:t>
      </w:r>
    </w:p>
    <w:p w14:paraId="3F3E0820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财务管理员：仅可查看、导出营收报表，完成对账结算，无费率修改、账号管理权限。</w:t>
      </w:r>
    </w:p>
    <w:p w14:paraId="1E32909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日常运营管理员：负责车辆进出管理、场内车辆查询、异常道闸处理、黑白名单维护、移动岗亭操作。</w:t>
      </w:r>
    </w:p>
    <w:p w14:paraId="072BBE0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（四）黑名单车辆分级管理</w:t>
      </w:r>
    </w:p>
    <w:p w14:paraId="08ACA58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建立三级黑名单体系，支持自动识别、拦截、报警：</w:t>
      </w:r>
    </w:p>
    <w:p w14:paraId="6813B45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逃费黑名单：自动记录逃费车辆，再次入场时提示补缴欠费，结清后方可通行。</w:t>
      </w:r>
    </w:p>
    <w:p w14:paraId="074A3F7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违规黑名单：院方可手动录入占道、堵门、占用急救通道等违规车辆，禁止入场。</w:t>
      </w:r>
    </w:p>
    <w:p w14:paraId="5F97D64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执法联动黑名单：预留公安、交管涉案车辆数据库接口，识别涉案车辆后静默报警，同步推送至安保及监控中心。</w:t>
      </w:r>
    </w:p>
    <w:p w14:paraId="6A89FEE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 黑白名单增删操作设置审批流程，仅授权人员可操作。</w:t>
      </w:r>
    </w:p>
    <w:p w14:paraId="6273728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（五）场内车辆及“僵尸车”治理</w:t>
      </w:r>
    </w:p>
    <w:p w14:paraId="711A64F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系统自动生成场内车辆库存报表，可按停放时长分类统计。</w:t>
      </w:r>
    </w:p>
    <w:p w14:paraId="1037F13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停放超72小时车辆自动触发预警，向管理员推送短信/APP提醒。</w:t>
      </w:r>
    </w:p>
    <w:p w14:paraId="1757828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支持超时车辆白名单设置，豁免急救车、公务车、施工车辆等特殊车辆。</w:t>
      </w:r>
    </w:p>
    <w:p w14:paraId="5EED72D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 对长期滞留“僵尸车”，按院内标准计费追缴欠费；联系不上车主的，配合院方执行清障、拖车流程，相关费用由车主承担。</w:t>
      </w:r>
    </w:p>
    <w:p w14:paraId="27391D5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（六）移动岗亭功能</w:t>
      </w:r>
    </w:p>
    <w:p w14:paraId="4C78F8F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移动终端（手机/PAD）实现现场收费、优惠核销、异常车辆登记、道闸手动控制。</w:t>
      </w:r>
    </w:p>
    <w:p w14:paraId="1639355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支持无牌车、污损车牌人工录入信息，处理各类通行异常。</w:t>
      </w:r>
    </w:p>
    <w:p w14:paraId="1290909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实时调取现场监控、远程语音对讲，查看班次营收数据、实时对账。</w:t>
      </w:r>
    </w:p>
    <w:p w14:paraId="63E133C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 适用于车流高峰疏导、节假日、设备故障等应急场景。</w:t>
      </w:r>
    </w:p>
    <w:p w14:paraId="41286400">
      <w:pPr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五、断网、断电、设备故障应急保障要求</w:t>
      </w:r>
    </w:p>
    <w:p w14:paraId="6D05089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脱机运行（断网应急）</w:t>
      </w:r>
    </w:p>
    <w:p w14:paraId="0391746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所有出入口设备支持纯脱机独立运行，本地可存储</w:t>
      </w:r>
      <w:r>
        <w:rPr>
          <w:rFonts w:hint="eastAsia"/>
          <w:sz w:val="32"/>
          <w:szCs w:val="32"/>
          <w:lang w:val="en-US" w:eastAsia="zh-CN"/>
        </w:rPr>
        <w:t>大于等于</w:t>
      </w:r>
      <w:r>
        <w:rPr>
          <w:rFonts w:hint="eastAsia"/>
          <w:sz w:val="32"/>
          <w:szCs w:val="32"/>
        </w:rPr>
        <w:t>5000个固定车牌、</w:t>
      </w:r>
      <w:r>
        <w:rPr>
          <w:rFonts w:hint="eastAsia"/>
          <w:sz w:val="32"/>
          <w:szCs w:val="32"/>
          <w:lang w:val="en-US" w:eastAsia="zh-CN"/>
        </w:rPr>
        <w:t>大于等于</w:t>
      </w:r>
      <w:bookmarkStart w:id="0" w:name="_GoBack"/>
      <w:bookmarkEnd w:id="0"/>
      <w:r>
        <w:rPr>
          <w:rFonts w:hint="eastAsia"/>
          <w:sz w:val="32"/>
          <w:szCs w:val="32"/>
        </w:rPr>
        <w:t>10000条通行记录；脱机状态下正常识别、计费、抬杆，网络恢复后数据自动同步至云端。系统网络故障时，自动切换4G/5G无线网络备用。</w:t>
      </w:r>
    </w:p>
    <w:p w14:paraId="0002770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断电应急</w:t>
      </w:r>
    </w:p>
    <w:p w14:paraId="61EDCD4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配置UPS不间断电源，保障核心设备断电后正常运行1-2小时；长期断电场景可启用备用发电机。</w:t>
      </w:r>
    </w:p>
    <w:p w14:paraId="5871B18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设备故障应急</w:t>
      </w:r>
    </w:p>
    <w:p w14:paraId="7273C17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每台道闸配备手动离合装置，安保人员可手动摇杆抬杆；故障期间启用移动岗亭作为临时收费终端，保障通行秩序。</w:t>
      </w:r>
    </w:p>
    <w:p w14:paraId="1A48E96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六、施工实施要求</w:t>
      </w:r>
    </w:p>
    <w:p w14:paraId="6C5EA00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整体施工方案执行新旧系统并行运行</w:t>
      </w:r>
      <w:r>
        <w:rPr>
          <w:rFonts w:hint="eastAsia"/>
          <w:sz w:val="32"/>
          <w:szCs w:val="32"/>
          <w:lang w:val="en-US" w:eastAsia="zh-CN"/>
        </w:rPr>
        <w:t>7天</w:t>
      </w:r>
      <w:r>
        <w:rPr>
          <w:rFonts w:hint="eastAsia"/>
          <w:sz w:val="32"/>
          <w:szCs w:val="32"/>
        </w:rPr>
        <w:t>，在原有设备前端加装新设备，双系统实时数据同步，全程不影响院区停车及就医秩序。</w:t>
      </w:r>
    </w:p>
    <w:p w14:paraId="2EB9302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施工单位配合院方完成设备点位确定、管线布设、车位线重划及编号等基础工作，施工规范符合弱电、安防工程标准。</w:t>
      </w:r>
    </w:p>
    <w:p w14:paraId="7DE1544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项目试运行选取单组出入口试点运行1-2周，测试无误后全面切换上线。</w:t>
      </w:r>
    </w:p>
    <w:p w14:paraId="4D7ED56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 施工期间做好现场防护、安全警示，及时清理施工垃圾。</w:t>
      </w:r>
    </w:p>
    <w:p w14:paraId="70C9A4D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七、院方配合事项（供应商配合对接要求）</w:t>
      </w:r>
    </w:p>
    <w:p w14:paraId="14A8825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供应商配合院方完成现场勘测，提供布线、设备安装技术标准，院方提供稳定220V电源、≥300M专用光纤宽带。</w:t>
      </w:r>
    </w:p>
    <w:p w14:paraId="2F5995F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协助院方梳理</w:t>
      </w:r>
      <w:r>
        <w:rPr>
          <w:rFonts w:hint="eastAsia"/>
          <w:sz w:val="32"/>
          <w:szCs w:val="32"/>
          <w:lang w:val="en-US" w:eastAsia="zh-CN"/>
        </w:rPr>
        <w:t>月保</w:t>
      </w:r>
      <w:r>
        <w:rPr>
          <w:rFonts w:hint="eastAsia"/>
          <w:sz w:val="32"/>
          <w:szCs w:val="32"/>
        </w:rPr>
        <w:t>车辆信息表，完成白名单初始化配置；配合院方制定并落地院内停车管理办法、各类收费及优惠细则。</w:t>
      </w:r>
    </w:p>
    <w:p w14:paraId="41BB396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安排专人对接项目进度，分批次为系统管理员、保安、财务人员开展全功能操作培训，确保人员熟练使用。</w:t>
      </w:r>
    </w:p>
    <w:p w14:paraId="37D1B42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 预留外部平台接口，后续配合院方完成城市停车平台</w:t>
      </w:r>
      <w:r>
        <w:rPr>
          <w:rFonts w:hint="eastAsia"/>
          <w:sz w:val="32"/>
          <w:szCs w:val="32"/>
          <w:lang w:val="en-US" w:eastAsia="zh-CN"/>
        </w:rPr>
        <w:t>等</w:t>
      </w:r>
      <w:r>
        <w:rPr>
          <w:rFonts w:hint="eastAsia"/>
          <w:sz w:val="32"/>
          <w:szCs w:val="32"/>
        </w:rPr>
        <w:t>系统的数据对接与开发。</w:t>
      </w:r>
    </w:p>
    <w:p w14:paraId="0830577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八、维保服务要求</w:t>
      </w:r>
    </w:p>
    <w:p w14:paraId="5539F3D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针对本项目2进3出全套车牌识别系统及配套设备提供全保维保服务，覆盖所有软硬件核心组件：</w:t>
      </w:r>
    </w:p>
    <w:p w14:paraId="1997B4C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紧急故障：接到报修后2小时内到场处置，优先解决车牌识别失效、道闸卡死、系统瘫痪、车辆拥堵等问题，第一时间恢复通行。</w:t>
      </w:r>
    </w:p>
    <w:p w14:paraId="60974CB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常规故障：及时处理设备损坏、线路故障、软件闪退、数据异常、补光灯故障等问题，免费更换相机、道闸配件、主板、地感线圈等所有核心零部件。</w:t>
      </w:r>
    </w:p>
    <w:p w14:paraId="66958F3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建立常态化巡检机制，定期对设备、系统进行检测、维护、升级，出具维保记录。</w:t>
      </w:r>
    </w:p>
    <w:p w14:paraId="0D72C3C3"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6"/>
          <w:szCs w:val="36"/>
        </w:rPr>
        <w:t>九、其他要求</w:t>
      </w:r>
    </w:p>
    <w:p w14:paraId="5A932E4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 所有设备提供原厂合格证书、质保凭证、检测报告，拒绝翻新、改装、三无产品。</w:t>
      </w:r>
    </w:p>
    <w:p w14:paraId="027697F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 项目整体报价包含设备、运输、安装、调试、辅材、施工、培训、税费等全部费用，为包干总价。</w:t>
      </w:r>
    </w:p>
    <w:p w14:paraId="0C40FC1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 项目交付后提供完整竣工资料、操作手册、运维文档。</w:t>
      </w:r>
    </w:p>
    <w:p w14:paraId="7840D786"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34C3A"/>
    <w:rsid w:val="22770BAD"/>
    <w:rsid w:val="332E47A4"/>
    <w:rsid w:val="5CB22340"/>
    <w:rsid w:val="7BD7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3650</Words>
  <Characters>3920</Characters>
  <Lines>0</Lines>
  <Paragraphs>0</Paragraphs>
  <TotalTime>27</TotalTime>
  <ScaleCrop>false</ScaleCrop>
  <LinksUpToDate>false</LinksUpToDate>
  <CharactersWithSpaces>4025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2026-06-18T00:43:00Z</dcterms:created>
  <dc:creator>admin</dc:creator>
  <cp:lastModifiedBy>招标办ZBB</cp:lastModifiedBy>
  <dcterms:modified xsi:type="dcterms:W3CDTF">2026-06-25T00:33:08Z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eyJoZGlkIjoiOTExMDAyM2UzZmM1NzA4MjNmNTk1MGZhMzhkOTJlZjIiLCJ1c2VySWQiOiIyMjkzNzE2NzUifQ==</vt:lpwstr>
  </property>
  <property fmtid="{D5CDD505-2E9C-101B-9397-08002B2CF9AE}" pid="4" name="ICV">
    <vt:lpwstr>C5D13F88A75849508BE19D7A575C74B7_13</vt:lpwstr>
  </property>
</Properties>
</file>